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873"/>
        <w:gridCol w:w="6703"/>
      </w:tblGrid>
      <w:tr w:rsidR="00E97DF4" w:rsidRPr="00E97DF4" w:rsidTr="00E97DF4">
        <w:tc>
          <w:tcPr>
            <w:tcW w:w="1500" w:type="pct"/>
            <w:tcBorders>
              <w:top w:val="nil"/>
              <w:left w:val="nil"/>
              <w:bottom w:val="nil"/>
              <w:right w:val="nil"/>
            </w:tcBorders>
            <w:tcMar>
              <w:top w:w="0" w:type="dxa"/>
              <w:left w:w="108" w:type="dxa"/>
              <w:bottom w:w="0" w:type="dxa"/>
              <w:right w:w="108" w:type="dxa"/>
            </w:tcMar>
            <w:hideMark/>
          </w:tcPr>
          <w:p w:rsidR="00E97DF4" w:rsidRPr="00E97DF4" w:rsidRDefault="00E97DF4" w:rsidP="00E97DF4">
            <w:pPr>
              <w:spacing w:before="90" w:after="90" w:line="240" w:lineRule="auto"/>
              <w:jc w:val="center"/>
              <w:rPr>
                <w:rFonts w:ascii="Times New Roman" w:eastAsia="Times New Roman" w:hAnsi="Times New Roman" w:cs="Times New Roman"/>
                <w:sz w:val="24"/>
                <w:szCs w:val="24"/>
              </w:rPr>
            </w:pPr>
            <w:r w:rsidRPr="00E97DF4">
              <w:rPr>
                <w:rFonts w:ascii="Times New Roman" w:eastAsia="Times New Roman" w:hAnsi="Times New Roman" w:cs="Times New Roman"/>
                <w:b/>
                <w:bCs/>
                <w:sz w:val="24"/>
                <w:szCs w:val="24"/>
              </w:rPr>
              <w:t xml:space="preserve">CHÍNH PHỦ </w:t>
            </w:r>
            <w:r w:rsidRPr="00E97DF4">
              <w:rPr>
                <w:rFonts w:ascii="Times New Roman" w:eastAsia="Times New Roman" w:hAnsi="Times New Roman" w:cs="Times New Roman"/>
                <w:b/>
                <w:bCs/>
                <w:sz w:val="24"/>
                <w:szCs w:val="24"/>
              </w:rPr>
              <w:br/>
              <w:t>_______</w:t>
            </w:r>
          </w:p>
          <w:p w:rsidR="00E97DF4" w:rsidRPr="00E97DF4" w:rsidRDefault="00E97DF4" w:rsidP="00E97DF4">
            <w:pPr>
              <w:spacing w:before="90" w:after="90" w:line="240" w:lineRule="auto"/>
              <w:jc w:val="center"/>
              <w:rPr>
                <w:rFonts w:ascii="Times New Roman" w:eastAsia="Times New Roman" w:hAnsi="Times New Roman" w:cs="Times New Roman"/>
                <w:sz w:val="24"/>
                <w:szCs w:val="24"/>
              </w:rPr>
            </w:pPr>
            <w:r w:rsidRPr="00E97DF4">
              <w:rPr>
                <w:rFonts w:ascii="Times New Roman" w:eastAsia="Times New Roman" w:hAnsi="Times New Roman" w:cs="Times New Roman"/>
                <w:sz w:val="24"/>
                <w:szCs w:val="24"/>
              </w:rPr>
              <w:t xml:space="preserve">Số: </w:t>
            </w:r>
            <w:r w:rsidRPr="00E97DF4">
              <w:rPr>
                <w:rFonts w:ascii="Times New Roman" w:eastAsia="Times New Roman" w:hAnsi="Times New Roman" w:cs="Times New Roman"/>
                <w:b/>
                <w:bCs/>
                <w:sz w:val="24"/>
                <w:szCs w:val="24"/>
              </w:rPr>
              <w:t>56</w:t>
            </w:r>
            <w:r w:rsidRPr="00E97DF4">
              <w:rPr>
                <w:rFonts w:ascii="Times New Roman" w:eastAsia="Times New Roman" w:hAnsi="Times New Roman" w:cs="Times New Roman"/>
                <w:sz w:val="24"/>
                <w:szCs w:val="24"/>
                <w:lang w:val="pt-BR"/>
              </w:rPr>
              <w:t>/2010/NĐ-CP</w:t>
            </w:r>
          </w:p>
        </w:tc>
        <w:tc>
          <w:tcPr>
            <w:tcW w:w="3500" w:type="pct"/>
            <w:tcBorders>
              <w:top w:val="nil"/>
              <w:left w:val="nil"/>
              <w:bottom w:val="nil"/>
              <w:right w:val="nil"/>
            </w:tcBorders>
            <w:tcMar>
              <w:top w:w="0" w:type="dxa"/>
              <w:left w:w="108" w:type="dxa"/>
              <w:bottom w:w="0" w:type="dxa"/>
              <w:right w:w="108" w:type="dxa"/>
            </w:tcMar>
            <w:hideMark/>
          </w:tcPr>
          <w:p w:rsidR="00E97DF4" w:rsidRPr="00E97DF4" w:rsidRDefault="00E97DF4" w:rsidP="00E97DF4">
            <w:pPr>
              <w:spacing w:before="90" w:after="90" w:line="240" w:lineRule="auto"/>
              <w:jc w:val="center"/>
              <w:rPr>
                <w:rFonts w:ascii="Times New Roman" w:eastAsia="Times New Roman" w:hAnsi="Times New Roman" w:cs="Times New Roman"/>
                <w:sz w:val="24"/>
                <w:szCs w:val="24"/>
              </w:rPr>
            </w:pPr>
            <w:r w:rsidRPr="00E97DF4">
              <w:rPr>
                <w:rFonts w:ascii="Times New Roman" w:eastAsia="Times New Roman" w:hAnsi="Times New Roman" w:cs="Times New Roman"/>
                <w:b/>
                <w:bCs/>
                <w:sz w:val="24"/>
                <w:szCs w:val="24"/>
              </w:rPr>
              <w:t>CỘNG HÒA XÃ HỘI CHỦ NGHĨA VIỆT NAM</w:t>
            </w:r>
          </w:p>
          <w:p w:rsidR="00E97DF4" w:rsidRPr="00E97DF4" w:rsidRDefault="00E97DF4" w:rsidP="00E97DF4">
            <w:pPr>
              <w:spacing w:before="90" w:after="90" w:line="240" w:lineRule="auto"/>
              <w:jc w:val="center"/>
              <w:rPr>
                <w:rFonts w:ascii="Times New Roman" w:eastAsia="Times New Roman" w:hAnsi="Times New Roman" w:cs="Times New Roman"/>
                <w:sz w:val="24"/>
                <w:szCs w:val="24"/>
              </w:rPr>
            </w:pPr>
            <w:r w:rsidRPr="00E97DF4">
              <w:rPr>
                <w:rFonts w:ascii="Times New Roman" w:eastAsia="Times New Roman" w:hAnsi="Times New Roman" w:cs="Times New Roman"/>
                <w:b/>
                <w:bCs/>
                <w:sz w:val="24"/>
                <w:szCs w:val="24"/>
              </w:rPr>
              <w:t>Độc lập – Tự do – Hạnh phúc</w:t>
            </w:r>
          </w:p>
          <w:p w:rsidR="00E97DF4" w:rsidRPr="00E97DF4" w:rsidRDefault="00E97DF4" w:rsidP="00E97DF4">
            <w:pPr>
              <w:spacing w:before="90" w:after="90" w:line="240" w:lineRule="auto"/>
              <w:jc w:val="center"/>
              <w:rPr>
                <w:rFonts w:ascii="Times New Roman" w:eastAsia="Times New Roman" w:hAnsi="Times New Roman" w:cs="Times New Roman"/>
                <w:sz w:val="24"/>
                <w:szCs w:val="24"/>
              </w:rPr>
            </w:pPr>
            <w:r w:rsidRPr="00E97DF4">
              <w:rPr>
                <w:rFonts w:ascii="Times New Roman" w:eastAsia="Times New Roman" w:hAnsi="Times New Roman" w:cs="Times New Roman"/>
                <w:b/>
                <w:bCs/>
                <w:sz w:val="24"/>
                <w:szCs w:val="24"/>
              </w:rPr>
              <w:t>__________________</w:t>
            </w:r>
          </w:p>
          <w:p w:rsidR="00E97DF4" w:rsidRPr="00E97DF4" w:rsidRDefault="00E97DF4" w:rsidP="00E97DF4">
            <w:pPr>
              <w:spacing w:before="90" w:after="90" w:line="240" w:lineRule="auto"/>
              <w:jc w:val="center"/>
              <w:rPr>
                <w:rFonts w:ascii="Times New Roman" w:eastAsia="Times New Roman" w:hAnsi="Times New Roman" w:cs="Times New Roman"/>
                <w:sz w:val="24"/>
                <w:szCs w:val="24"/>
              </w:rPr>
            </w:pPr>
            <w:r w:rsidRPr="00E97DF4">
              <w:rPr>
                <w:rFonts w:ascii="Times New Roman" w:eastAsia="Times New Roman" w:hAnsi="Times New Roman" w:cs="Times New Roman"/>
                <w:i/>
                <w:iCs/>
                <w:sz w:val="24"/>
                <w:szCs w:val="24"/>
                <w:lang w:val="pt-BR"/>
              </w:rPr>
              <w:t xml:space="preserve">Hà Nội, ngày 24 tháng 5 năm 2010 </w:t>
            </w:r>
          </w:p>
        </w:tc>
      </w:tr>
    </w:tbl>
    <w:p w:rsidR="00E97DF4" w:rsidRDefault="00E97DF4" w:rsidP="00302680">
      <w:pPr>
        <w:shd w:val="clear" w:color="auto" w:fill="FFFFFF"/>
        <w:spacing w:after="0" w:line="240" w:lineRule="auto"/>
        <w:jc w:val="center"/>
        <w:rPr>
          <w:rFonts w:ascii="inherit" w:eastAsia="Times New Roman" w:hAnsi="inherit" w:cs="Times New Roman"/>
          <w:b/>
          <w:bCs/>
          <w:color w:val="000000"/>
          <w:sz w:val="26"/>
        </w:rPr>
      </w:pPr>
    </w:p>
    <w:p w:rsidR="00302680" w:rsidRPr="00302680" w:rsidRDefault="00302680" w:rsidP="00302680">
      <w:pPr>
        <w:shd w:val="clear" w:color="auto" w:fill="FFFFFF"/>
        <w:spacing w:after="0" w:line="240" w:lineRule="auto"/>
        <w:jc w:val="center"/>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NGHỊ ĐỊNH</w:t>
      </w:r>
    </w:p>
    <w:p w:rsidR="00302680" w:rsidRPr="00302680" w:rsidRDefault="00302680" w:rsidP="00302680">
      <w:pPr>
        <w:shd w:val="clear" w:color="auto" w:fill="FFFFFF"/>
        <w:spacing w:after="0" w:line="240" w:lineRule="auto"/>
        <w:jc w:val="center"/>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SỐ 56/2010/NĐ-CP NGÀY 24 THÁNG 05 NĂM 2010</w:t>
      </w:r>
    </w:p>
    <w:p w:rsidR="00302680" w:rsidRDefault="00302680" w:rsidP="00302680">
      <w:pPr>
        <w:shd w:val="clear" w:color="auto" w:fill="FFFFFF"/>
        <w:spacing w:after="0" w:line="240" w:lineRule="auto"/>
        <w:jc w:val="center"/>
        <w:rPr>
          <w:rFonts w:ascii="inherit" w:eastAsia="Times New Roman" w:hAnsi="inherit" w:cs="Times New Roman"/>
          <w:color w:val="000000"/>
          <w:sz w:val="26"/>
          <w:szCs w:val="26"/>
        </w:rPr>
      </w:pPr>
      <w:r w:rsidRPr="00302680">
        <w:rPr>
          <w:rFonts w:ascii="inherit" w:eastAsia="Times New Roman" w:hAnsi="inherit" w:cs="Times New Roman"/>
          <w:b/>
          <w:bCs/>
          <w:color w:val="000000"/>
          <w:sz w:val="26"/>
        </w:rPr>
        <w:t>SỬA ĐỔI, BỔ SUNG MỘT SỐ ĐIỀU CỦA NGHỊ ĐỊNH SỐ 107/2007/NĐ-CP NGÀY 25 THÁNG 6 NĂM 2007 CỦA CHÍNH PHỦ QUY ĐỊNH CHI TIẾT VÀ HƯỚNG DẪN THI HÀNH MỘT SỐ ĐIỀU CỦA LUẬT CƯ TRÚ</w:t>
      </w:r>
      <w:r w:rsidRPr="00302680">
        <w:rPr>
          <w:rFonts w:ascii="inherit" w:eastAsia="Times New Roman" w:hAnsi="inherit" w:cs="Times New Roman"/>
          <w:color w:val="000000"/>
          <w:sz w:val="26"/>
          <w:szCs w:val="26"/>
        </w:rPr>
        <w:t> </w:t>
      </w:r>
    </w:p>
    <w:p w:rsidR="00E97DF4" w:rsidRDefault="00E97DF4" w:rsidP="00302680">
      <w:pPr>
        <w:shd w:val="clear" w:color="auto" w:fill="FFFFFF"/>
        <w:spacing w:after="0" w:line="240" w:lineRule="auto"/>
        <w:jc w:val="center"/>
        <w:rPr>
          <w:rFonts w:ascii="Times New Roman" w:eastAsia="Times New Roman" w:hAnsi="Times New Roman" w:cs="Times New Roman"/>
          <w:b/>
          <w:bCs/>
          <w:color w:val="000000"/>
          <w:sz w:val="26"/>
          <w:szCs w:val="26"/>
        </w:rPr>
      </w:pPr>
    </w:p>
    <w:p w:rsidR="00E97DF4" w:rsidRPr="00302680" w:rsidRDefault="00E97DF4" w:rsidP="00302680">
      <w:pPr>
        <w:shd w:val="clear" w:color="auto" w:fill="FFFFFF"/>
        <w:spacing w:after="0" w:line="240" w:lineRule="auto"/>
        <w:jc w:val="center"/>
        <w:rPr>
          <w:rFonts w:ascii="Times New Roman" w:eastAsia="Times New Roman" w:hAnsi="Times New Roman" w:cs="Times New Roman"/>
          <w:color w:val="000000"/>
          <w:sz w:val="26"/>
          <w:szCs w:val="26"/>
        </w:rPr>
      </w:pPr>
      <w:r w:rsidRPr="00E97DF4">
        <w:rPr>
          <w:rFonts w:ascii="Times New Roman" w:eastAsia="Times New Roman" w:hAnsi="Times New Roman" w:cs="Times New Roman"/>
          <w:b/>
          <w:bCs/>
          <w:color w:val="000000"/>
          <w:sz w:val="26"/>
          <w:szCs w:val="26"/>
        </w:rPr>
        <w:t>CHÍNH PHỦ</w:t>
      </w:r>
    </w:p>
    <w:p w:rsidR="00302680" w:rsidRPr="00302680" w:rsidRDefault="00302680" w:rsidP="00302680">
      <w:pPr>
        <w:shd w:val="clear" w:color="auto" w:fill="FFFFFF"/>
        <w:spacing w:after="0" w:line="240" w:lineRule="auto"/>
        <w:jc w:val="center"/>
        <w:rPr>
          <w:rFonts w:ascii="Times New Roman" w:eastAsia="Times New Roman" w:hAnsi="Times New Roman" w:cs="Times New Roman"/>
          <w:color w:val="000000"/>
          <w:sz w:val="26"/>
          <w:szCs w:val="26"/>
        </w:rPr>
      </w:pP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i/>
          <w:iCs/>
          <w:color w:val="000000"/>
          <w:sz w:val="26"/>
        </w:rPr>
        <w:t>Căn cứ Luật Tổ chức Chính phủ ngày 25 tháng 12 năm 2001;</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i/>
          <w:iCs/>
          <w:color w:val="000000"/>
          <w:sz w:val="26"/>
        </w:rPr>
        <w:t>Căn cứ Luật Cư trú ngày 29 tháng 11 năm 2006;</w:t>
      </w:r>
    </w:p>
    <w:p w:rsidR="00302680" w:rsidRDefault="00302680" w:rsidP="00302680">
      <w:pPr>
        <w:shd w:val="clear" w:color="auto" w:fill="FFFFFF"/>
        <w:spacing w:after="0" w:line="240" w:lineRule="auto"/>
        <w:jc w:val="both"/>
        <w:rPr>
          <w:rFonts w:ascii="inherit" w:eastAsia="Times New Roman" w:hAnsi="inherit" w:cs="Times New Roman"/>
          <w:i/>
          <w:iCs/>
          <w:color w:val="000000"/>
          <w:sz w:val="26"/>
        </w:rPr>
      </w:pPr>
      <w:r w:rsidRPr="00302680">
        <w:rPr>
          <w:rFonts w:ascii="inherit" w:eastAsia="Times New Roman" w:hAnsi="inherit" w:cs="Times New Roman"/>
          <w:i/>
          <w:iCs/>
          <w:color w:val="000000"/>
          <w:sz w:val="26"/>
        </w:rPr>
        <w:t>Xét đề nghị của Bộ trưởng Bộ Công an,</w:t>
      </w:r>
    </w:p>
    <w:p w:rsidR="00E97DF4" w:rsidRDefault="00E97DF4" w:rsidP="00E97DF4">
      <w:pPr>
        <w:shd w:val="clear" w:color="auto" w:fill="FFFFFF"/>
        <w:spacing w:after="0" w:line="240" w:lineRule="auto"/>
        <w:jc w:val="center"/>
        <w:rPr>
          <w:rFonts w:ascii="Times New Roman" w:eastAsia="Times New Roman" w:hAnsi="Times New Roman" w:cs="Times New Roman"/>
          <w:b/>
          <w:bCs/>
          <w:color w:val="000000"/>
          <w:sz w:val="26"/>
          <w:szCs w:val="26"/>
        </w:rPr>
      </w:pPr>
    </w:p>
    <w:p w:rsidR="00E97DF4" w:rsidRPr="00302680" w:rsidRDefault="00E97DF4" w:rsidP="00E97DF4">
      <w:pPr>
        <w:shd w:val="clear" w:color="auto" w:fill="FFFFFF"/>
        <w:spacing w:after="0" w:line="240" w:lineRule="auto"/>
        <w:jc w:val="center"/>
        <w:rPr>
          <w:rFonts w:ascii="Times New Roman" w:eastAsia="Times New Roman" w:hAnsi="Times New Roman" w:cs="Times New Roman"/>
          <w:color w:val="000000"/>
          <w:sz w:val="26"/>
          <w:szCs w:val="26"/>
        </w:rPr>
      </w:pPr>
      <w:r w:rsidRPr="00E97DF4">
        <w:rPr>
          <w:rFonts w:ascii="Times New Roman" w:eastAsia="Times New Roman" w:hAnsi="Times New Roman" w:cs="Times New Roman"/>
          <w:b/>
          <w:bCs/>
          <w:color w:val="000000"/>
          <w:sz w:val="26"/>
          <w:szCs w:val="26"/>
        </w:rPr>
        <w:t>NGHỊ ĐỊNH:</w:t>
      </w:r>
    </w:p>
    <w:p w:rsidR="00302680" w:rsidRPr="00302680" w:rsidRDefault="00302680" w:rsidP="00302680">
      <w:pPr>
        <w:shd w:val="clear" w:color="auto" w:fill="FFFFFF"/>
        <w:spacing w:after="0" w:line="240" w:lineRule="auto"/>
        <w:rPr>
          <w:rFonts w:ascii="Times New Roman" w:eastAsia="Times New Roman" w:hAnsi="Times New Roman" w:cs="Times New Roman"/>
          <w:color w:val="000000"/>
          <w:sz w:val="26"/>
          <w:szCs w:val="26"/>
        </w:rPr>
      </w:pPr>
    </w:p>
    <w:p w:rsidR="00302680" w:rsidRPr="00302680" w:rsidRDefault="00302680" w:rsidP="00302680">
      <w:pPr>
        <w:shd w:val="clear" w:color="auto" w:fill="FFFFFF"/>
        <w:spacing w:after="0" w:line="240" w:lineRule="auto"/>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szCs w:val="26"/>
        </w:rPr>
        <w:t>Điều 1. </w:t>
      </w:r>
      <w:r w:rsidRPr="00302680">
        <w:rPr>
          <w:rFonts w:ascii="inherit" w:eastAsia="Times New Roman" w:hAnsi="inherit" w:cs="Times New Roman"/>
          <w:color w:val="000000"/>
          <w:sz w:val="26"/>
          <w:szCs w:val="26"/>
        </w:rPr>
        <w:t>Sửa đổi, bổ sung một số điều của Nghị định số 107/2007/NĐ-CP ngày 25 tháng 6 năm 2007 của Chính phủ quy định chi tiết và hướng dẫn thi hành một số điều của Luật Cư trú như sau:</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i/>
          <w:iCs/>
          <w:color w:val="000000"/>
          <w:sz w:val="26"/>
        </w:rPr>
        <w:t>1. Điều 3 được sửa đổi, bổ sung như sau:</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i/>
          <w:iCs/>
          <w:color w:val="000000"/>
          <w:sz w:val="26"/>
        </w:rPr>
        <w:t>“</w:t>
      </w:r>
      <w:r w:rsidRPr="00302680">
        <w:rPr>
          <w:rFonts w:ascii="inherit" w:eastAsia="Times New Roman" w:hAnsi="inherit" w:cs="Times New Roman"/>
          <w:b/>
          <w:bCs/>
          <w:color w:val="000000"/>
          <w:sz w:val="26"/>
        </w:rPr>
        <w:t>Điều 3. Nghiêm cấm các hành vi lạm dụng quy định về hộ khẩu làm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1. Quy định về hộ khẩu theo Luật Cư trú gồm các nội dung sau đây: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Đăng ký, quản lý thường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Đăng ký, quản lý tạm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c) Thông báo lưu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d) Khai báo tạm vắng.</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2. Các hành vi lạm dụng quy định về hộ khẩu làm hạn chế quyền và lợi ích hợp pháp của công dân bị nghiêm cấm, gồm:</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Ban hành văn bản quy phạm pháp luật, văn bản khác liên quan đến quy định về hộ khẩu mà làm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Ban hành văn bản quy phạm pháp luật, văn bản khác liên quan đến quy định về hộ khẩu trái với quy định của Luật Cư trú và các văn bản quy định chi tiết và hướng dẫn thi hành;</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c) Ban hành quy định hạn chế quyền tự do cư trú của công dân trái thẩm quyền, trình tự, thủ tục do pháp luật quy định;</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d) Đưa ra các quy định về hộ khẩu làm điều kiện để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lastRenderedPageBreak/>
        <w:t>đ) Giải quyết trái quy định của pháp luật cư trú hoặc từ chối giải quyết các yêu cầu về hộ khẩu của công dân làm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e) Cho người khác nhập hộ khẩu vào sổ hộ khẩu, chỗ ở của mình để trục lợi hoặc cho nhập hộ khẩu vào cùng một chỗ ở, nhưng không bảo đảm diện tích sàn tối thiểu trên đầu người theo quy định;</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g) Ký hợp đồng lao động không xác định thời hạn với người lao động không thuộc doanh nghiệp của mình để nhập hộ khẩu.</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3. Các Bộ, ngành và Ủy ban nhân dân các cấp có trách nhiệm:</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Kiểm tra, rà soát các văn bản quy phạm pháp luật và các văn bản khác trong lĩnh vực quản lý của mình liên quan đến quy định về hộ khẩu để sửa đổi, bổ sung, bãi bỏ hoặc kiến nghị cơ quan có thẩm quyền sửa đổi, bổ sung, bãi bỏ những nội dung trái với Luật Cư trú và các văn bản hướng dẫn Luật Cư trú làm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Ban hành các văn bản quy phạm pháp luật, văn bản khác thuộc thẩm quyền có liên quan đến quy định về hộ khẩu phải bảo đảm đúng với Luật Cư trú và các văn bản hướng dẫn Luật Cư trú; không được làm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c) Chỉ đạo, kiểm tra, giám sát các cơ quan, tổ chức, cá nhân thuộc thẩm quyền quản lý trong việc thực hiện Luật Cư trú và các văn bản hướng dẫn Luật Cư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d) Phát hiện, ngăn chặn, xử lý kịp thời, nghiêm minh hành vi lạm dụng quy định về hộ khẩu làm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4. Công dân có quyền phát hiện, thông báo kịp thời và giúp đỡ cơ quan có thẩm quyền trong việc ngăn chặn, xử lý các hành vi lạm dụng quy định về hộ khẩu làm hạn chế quyền, lợi ích hợp pháp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i/>
          <w:iCs/>
          <w:color w:val="000000"/>
          <w:sz w:val="26"/>
        </w:rPr>
        <w:t>2. Điều 4 được sửa đổi, bổ sung như sau:</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“Điều 4. Nơi cư trú của công dân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1. Nơi cư trú của công dân là chỗ ở hợp pháp mà người đó thường xuyên sinh sống. Nơi cư trú của công dân là nơi thường trú hoặc nơi tạm trú. Mỗi công dân chỉ được đăng ký thường trú tại một chỗ ở hợp pháp và là nơi thường xuyên sinh sống.</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Chỗ ở hợp pháp có thể thuộc quyền sở hữu, sử dụng của công dân hoặc được cơ quan, tổ chức, cá nhân cho thuê, cho mượn, cho ở nhờ theo quy định của pháp luật. Đối với chỗ ở do thuê, mượn hoặc ở nhờ tại thành phố Hà Nội, thành phố Hồ Chí Minh phải bảo đảm diện tích tối thiểu là 5 m</w:t>
      </w:r>
      <w:r w:rsidRPr="00302680">
        <w:rPr>
          <w:rFonts w:ascii="inherit" w:eastAsia="Times New Roman" w:hAnsi="inherit" w:cs="Times New Roman"/>
          <w:color w:val="000000"/>
          <w:sz w:val="26"/>
          <w:vertAlign w:val="superscript"/>
        </w:rPr>
        <w:t>2</w:t>
      </w:r>
      <w:r w:rsidRPr="00302680">
        <w:rPr>
          <w:rFonts w:ascii="inherit" w:eastAsia="Times New Roman" w:hAnsi="inherit" w:cs="Times New Roman"/>
          <w:color w:val="000000"/>
          <w:sz w:val="26"/>
        </w:rPr>
        <w:t> sàn/01 người.</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2. Trường hợp không xác định được nơi cư trú của công dân theo quy định tại khoản 1 Điều này, thì nơi cư trú của công dân là nơi người đó đang sinh sống và có xác nhận của Công an xã, phường, thị trấn.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3. Chỗ ở hợp pháp bao gồm:</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Nhà ở;</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Tàu, thuyền, phương tiện khác nhằm mục đích để ở và phục vụ sinh hoạt của hộ gia đình, cá nhân;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c) Nhà khách thuộc điểm a, điểm b khoản này nhưng được sử dụng nhằm mục đích để ở và phục vụ sinh hoạt của hộ gia đình, cá nhân.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4. Không đăng ký thường trú khi công dân chuyển đến chỗ ở mới, thuộc một trong các trường hợp sau đây: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Chỗ ở nằm trong địa điểm cấm, khu vực cấm xây dựng hoặc lấn chiếm mốc giới bảo vệ công trình hạ tầng kỹ thuật, di tích lịch sử, văn hóa đã được xếp hạng;</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Chỗ ở mà toàn bộ diện tích nhà ở nằm trên đất lấn chiếm trái phép;</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c) Chỗ ở đã có phương án bồi thường, hỗ trợ và tái định cư của cơ quan nhà nước có thẩm quyền; chỗ ở là nhà ở mà một phần hoặc toàn bộ diện tích nhà ở đang có tranh chấp, khiếu nại liên quan đến quyền sở hữu, sử dụng nhưng chưa được giải quyết theo quy định của pháp luật (trừ trường hợp những người có quan hệ là ông, bà nội, ngoại, cha, mẹ, vợ, chồng, con chuyển đến ở với nhau);</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d) Chỗ ở bị kê biên, tịch thu để thi hành án, trưng mua theo quyết định của cơ quan nhà nước có thẩm quyền;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đ) Chỗ ở là nhà ở đã có quyết định phá dỡ của cơ quan nhà nước có thẩm quyền.”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i/>
          <w:iCs/>
          <w:color w:val="000000"/>
          <w:sz w:val="26"/>
        </w:rPr>
        <w:t>3. Điều 5 được sửa đổi, bổ sung như sau:</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“Điều 5. Giấy tờ chứng minh chỗ ở hợp pháp</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1. Giấy tờ chứng minh chỗ ở hợp pháp để đăng ký thường trú là một trong các giấy tờ sau đây: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Giấy tờ chứng minh chỗ ở hợp pháp thuộc quyền sở hữu của công dân là một trong các giấy tờ sau đây: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chứng nhận quyền sở hữu nhà ở hoặc giấy tờ về quyền sở hữu nhà ở do cơ quan có thẩm quyền cấp qua các thời kỳ;</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tờ về quyền sử dụng đất ở theo quy định của pháp luật về đất đai (đã có nhà ở trên đất đó);</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phép xây dựng theo quy định của pháp luật về xây dựng (đối với trường hợp phải cấp giấy phép);</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Hợp đồng mua bán nhà ở thuộc sở hữu nhà nước hoặc giấy tờ về hóa giá thanh lý nhà ở thuộc sở hữu nhà nước;</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Hợp đồng mua nhà ở hoặc giấy tờ chứng minh việc đã bàn giao nhà ở, đã nhận nhà ở của doanh nghiệp có chức năng kinh doanh nhà ở đầu tư xây dựng để bán;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tờ về mua, bán, tặng, cho, đổi, nhận thừa kế nhà ở có công chứng hoặc chứng thực của Ủy ban nhân dân xã, phường, thị trấn (sau đây gọi tắt là Ủy ban nhân dân cấp xã);</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tờ về giao tặng nhà tình nghĩa, nhà tình thương, nhà đại đoàn kết, cấp nhà ở, đất ở cho cá nhân, hộ gia đình di dân theo kế hoạch của Nhà nước hoặc các đối tượng khác;</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tờ của Tòa án hoặc cơ quan hành chính nhà nước có thẩm quyền giải quyết cho được sở hữu nhà ở đã có hiệu lực pháp luật;</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tờ có xác nhận của Ủy ban nhân dân cấp xã về nhà ở, đất ở không có tranh chấp quyền sở hữu nhà ở, quyền sử dụng đất ở nếu không có một trong các giấy tờ nêu trên;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 Giấy tờ chứng minh về đăng ký tàu, thuyền, phương tiện khác thuộc quyền sở hữu và địa chỉ bến gốc của phương tiện sử dụng để ở. Trường hợp không có giấy đăng ký thì cần có xác nhận của Ủy ban nhân dân cấp xã về việc có tàu, thuyền, phương tiện khác sử dụng để ở thuộc quyền sở hữu hoặc xác nhận việc mua bán, tặng cho, đổi, thừa kế tàu, thuyền, phương tiện khác và địa chỉ bến gốc của phương tiện đó.</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Giấy tờ chứng minh việc cho thuê, cho mượn, cho ở nhờ chỗ ở hợp pháp là hợp đồng cho thuê, cho mượn, cho ở nhờ nhà ở, nhà khác của cơ quan, tổ chức hoặc của cá nhân (trường hợp hợp đồng cho thuê, cho mượn, cho ở nhờ nhà ở, nhà khác của cá nhân phải được công chứng hoặc chứng thực của Ủy ban nhân dân cấp xã). Đối với nhà ở, nhà khác tại thành phố Hà Nội, thành phố Hồ Chí Minh trong hợp đồng phải ghi rõ diện tích cho thuê, cho mượn, cho ở nhờ;</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c) Giấy tờ của cơ quan, tổ chức, cơ sở tôn giáo về việc công dân có chỗ ở thuộc trường hợp quy định tại điểm c, điểm d khoản 1 Điều 26 của Luật Cư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d) Giấy tờ của cơ quan, tổ chức do thủ trưởng cơ quan, tổ chức ký tên, đóng dấu chứng minh về việc được cấp, sử dụng nhà ở, chuyển nhượng nhà ở, có nhà ở tạo lập trên đất do cơ quan, tổ chức giao đất để làm nhà ở (đối với nhà ở, đất thuộc thẩm quyền quản lý của cơ quan, tổ chức) hoặc xác nhận của Ủy ban nhân dân cấp xã là nhà ở đó không có tranh chấp về quyền sở hữu hoặc quyền sử dụng.</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2. Giấy tờ chứng minh chỗ ở hợp pháp để đăng ký tạm trú là một trong các giấy tờ sau đây: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Một trong những giấy tờ quy định tại khoản 1 Điều này, trừ trường hợp giấy tờ chứng minh chỗ ở hợp pháp là hợp đồng cho thuê, cho mượn, cho ở nhờ nhà ở, nhà khác của cá nhân thì hợp đồng đó không cần công chứng hoặc chứng thực của Ủy ban nhân dân cấp xã;</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Văn bản cam kết của công dân về việc có chỗ ở thuộc quyền sử dụng của mình và không có tranh chấp về quyền sử dụng nếu không có một trong các giấy tờ quy định tại điểm a khoản này.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3. Trong trường hợp các văn bản pháp luật về nhà ở có thay đổi thì Bộ trưởng Bộ Công an quy định cụ thể các giấy tờ khác chứng minh chỗ ở hợp pháp để đăng ký thường trú, tạm trú phù hợp với văn bản pháp luật đó”.</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i/>
          <w:iCs/>
          <w:color w:val="000000"/>
          <w:sz w:val="26"/>
        </w:rPr>
        <w:t>4. Điều 7 được sửa đổi, bổ sung như sau:</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“Điều 7. Điều kiện công dân tạm trú được đăng ký thường trú tại thành phố trực thuộc Trung ương</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1. Công dân đang tạm trú nếu có đủ các điều kiện dưới đây thì được đăng ký thường trú tại thành phố trực thuộc Trung ương:</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Có chỗ ở hợp pháp tại thành phố trực thuộc Trung ương và tạm trú liên tục tại chỗ ở đó từ một năm trở lên;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Nơi đề nghị được đăng ký thường trú phải là nơi đang tạm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2. Thời hạn tạm trú được tính từ ngày công dân đăng ký tạm trú đến ngày công dân nộp hồ sơ đăng ký thường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3. Giấy tờ chứng minh thời hạn tạm trú là một trong các giấy tờ sau đây: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a) Sổ tạm trú cấp cho hộ gia đình hoặc cấp cho cá nhân theo mẫu quy định của Bộ Công an;</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b) Xác nhận của Công an xã, phường, thị trấn về thời gian và nơi đăng ký tạm trú (đối với trường hợp đăng ký tạm trú nhưng không cấp sổ tạm trú).”</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Điều 2. </w:t>
      </w:r>
      <w:r w:rsidRPr="00302680">
        <w:rPr>
          <w:rFonts w:ascii="inherit" w:eastAsia="Times New Roman" w:hAnsi="inherit" w:cs="Times New Roman"/>
          <w:color w:val="000000"/>
          <w:sz w:val="26"/>
        </w:rPr>
        <w:t>Hiệu lực thi hành</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Nghị định này có hiệu lực thi hành kể từ ngày 10 tháng 7 năm 2010.</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Điều 3. </w:t>
      </w:r>
      <w:r w:rsidRPr="00302680">
        <w:rPr>
          <w:rFonts w:ascii="inherit" w:eastAsia="Times New Roman" w:hAnsi="inherit" w:cs="Times New Roman"/>
          <w:color w:val="000000"/>
          <w:sz w:val="26"/>
        </w:rPr>
        <w:t>Trách nhiệm thi hành</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1. Bộ trưởng Bộ Công an chịu trách nhiệm tổ chức, đôn đốc, kiểm tra việc thi hành Nghị định này.</w:t>
      </w:r>
    </w:p>
    <w:p w:rsidR="00302680" w:rsidRPr="00302680" w:rsidRDefault="00302680" w:rsidP="00302680">
      <w:pPr>
        <w:shd w:val="clear" w:color="auto" w:fill="FFFFFF"/>
        <w:spacing w:after="0" w:line="240" w:lineRule="auto"/>
        <w:jc w:val="both"/>
        <w:rPr>
          <w:rFonts w:ascii="Times New Roman" w:eastAsia="Times New Roman" w:hAnsi="Times New Roman" w:cs="Times New Roman"/>
          <w:color w:val="000000"/>
          <w:sz w:val="26"/>
          <w:szCs w:val="26"/>
        </w:rPr>
      </w:pPr>
      <w:r w:rsidRPr="00302680">
        <w:rPr>
          <w:rFonts w:ascii="inherit" w:eastAsia="Times New Roman" w:hAnsi="inherit" w:cs="Times New Roman"/>
          <w:color w:val="000000"/>
          <w:sz w:val="26"/>
        </w:rPr>
        <w:t>2. Các Bộ trưởng, Thủ trưởng cơ quan ngang Bộ, Thủ trưởng cơ quan thuộc Chính phủ, Chủ tịch Ủy ban nhân dân tỉnh, thành phố trực thuộc Trung ương chịu trách nhiệm thi hành Nghị định này./.</w:t>
      </w:r>
      <w:r w:rsidRPr="00302680">
        <w:rPr>
          <w:rFonts w:ascii="inherit" w:eastAsia="Times New Roman" w:hAnsi="inherit" w:cs="Times New Roman"/>
          <w:color w:val="000000"/>
          <w:sz w:val="26"/>
          <w:szCs w:val="26"/>
        </w:rPr>
        <w:t> </w:t>
      </w:r>
    </w:p>
    <w:p w:rsidR="00302680" w:rsidRPr="00302680" w:rsidRDefault="00302680" w:rsidP="00302680">
      <w:pPr>
        <w:shd w:val="clear" w:color="auto" w:fill="FFFFFF"/>
        <w:spacing w:after="0" w:line="240" w:lineRule="auto"/>
        <w:jc w:val="center"/>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TM. CHÍNH PHỦ</w:t>
      </w:r>
    </w:p>
    <w:p w:rsidR="00302680" w:rsidRPr="00302680" w:rsidRDefault="00302680" w:rsidP="00302680">
      <w:pPr>
        <w:shd w:val="clear" w:color="auto" w:fill="FFFFFF"/>
        <w:spacing w:after="0" w:line="240" w:lineRule="auto"/>
        <w:jc w:val="center"/>
        <w:rPr>
          <w:rFonts w:ascii="Times New Roman" w:eastAsia="Times New Roman" w:hAnsi="Times New Roman" w:cs="Times New Roman"/>
          <w:color w:val="000000"/>
          <w:sz w:val="26"/>
          <w:szCs w:val="26"/>
        </w:rPr>
      </w:pPr>
      <w:r w:rsidRPr="00302680">
        <w:rPr>
          <w:rFonts w:ascii="inherit" w:eastAsia="Times New Roman" w:hAnsi="inherit" w:cs="Times New Roman"/>
          <w:b/>
          <w:bCs/>
          <w:color w:val="000000"/>
          <w:sz w:val="26"/>
        </w:rPr>
        <w:t>THỦ TƯỚNG</w:t>
      </w:r>
    </w:p>
    <w:p w:rsidR="00B70616" w:rsidRDefault="00302680" w:rsidP="00E97DF4">
      <w:pPr>
        <w:shd w:val="clear" w:color="auto" w:fill="FFFFFF"/>
        <w:spacing w:after="0" w:line="240" w:lineRule="auto"/>
        <w:jc w:val="center"/>
      </w:pPr>
      <w:r w:rsidRPr="00302680">
        <w:rPr>
          <w:rFonts w:ascii="inherit" w:eastAsia="Times New Roman" w:hAnsi="inherit" w:cs="Times New Roman"/>
          <w:b/>
          <w:bCs/>
          <w:color w:val="000000"/>
          <w:sz w:val="26"/>
        </w:rPr>
        <w:t>Nguyễn Tấn Dũng</w:t>
      </w:r>
      <w:r w:rsidRPr="00302680">
        <w:rPr>
          <w:rFonts w:ascii="inherit" w:eastAsia="Times New Roman" w:hAnsi="inherit" w:cs="Times New Roman"/>
          <w:color w:val="000000"/>
          <w:sz w:val="26"/>
          <w:szCs w:val="26"/>
        </w:rPr>
        <w:t> </w:t>
      </w:r>
    </w:p>
    <w:sectPr w:rsidR="00B70616" w:rsidSect="00B7061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C1" w:rsidRDefault="00891EC1" w:rsidP="00E97DF4">
      <w:pPr>
        <w:spacing w:after="0" w:line="240" w:lineRule="auto"/>
      </w:pPr>
      <w:r>
        <w:separator/>
      </w:r>
    </w:p>
  </w:endnote>
  <w:endnote w:type="continuationSeparator" w:id="0">
    <w:p w:rsidR="00891EC1" w:rsidRDefault="00891EC1" w:rsidP="00E97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051"/>
      <w:docPartObj>
        <w:docPartGallery w:val="Page Numbers (Bottom of Page)"/>
        <w:docPartUnique/>
      </w:docPartObj>
    </w:sdtPr>
    <w:sdtContent>
      <w:p w:rsidR="00E97DF4" w:rsidRDefault="00E97DF4">
        <w:pPr>
          <w:pStyle w:val="Footer"/>
          <w:jc w:val="right"/>
        </w:pPr>
        <w:fldSimple w:instr=" PAGE   \* MERGEFORMAT ">
          <w:r w:rsidR="00891EC1">
            <w:rPr>
              <w:noProof/>
            </w:rPr>
            <w:t>1</w:t>
          </w:r>
        </w:fldSimple>
      </w:p>
    </w:sdtContent>
  </w:sdt>
  <w:p w:rsidR="00E97DF4" w:rsidRDefault="00E97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C1" w:rsidRDefault="00891EC1" w:rsidP="00E97DF4">
      <w:pPr>
        <w:spacing w:after="0" w:line="240" w:lineRule="auto"/>
      </w:pPr>
      <w:r>
        <w:separator/>
      </w:r>
    </w:p>
  </w:footnote>
  <w:footnote w:type="continuationSeparator" w:id="0">
    <w:p w:rsidR="00891EC1" w:rsidRDefault="00891EC1" w:rsidP="00E97D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2680"/>
    <w:rsid w:val="00302680"/>
    <w:rsid w:val="00891EC1"/>
    <w:rsid w:val="00B70616"/>
    <w:rsid w:val="00E9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302680"/>
  </w:style>
  <w:style w:type="character" w:customStyle="1" w:styleId="apple-style-span">
    <w:name w:val="apple-style-span"/>
    <w:basedOn w:val="DefaultParagraphFont"/>
    <w:rsid w:val="00302680"/>
  </w:style>
  <w:style w:type="paragraph" w:customStyle="1" w:styleId="normal-p">
    <w:name w:val="normal-p"/>
    <w:basedOn w:val="Normal"/>
    <w:rsid w:val="00E97D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7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DF4"/>
  </w:style>
  <w:style w:type="paragraph" w:styleId="Footer">
    <w:name w:val="footer"/>
    <w:basedOn w:val="Normal"/>
    <w:link w:val="FooterChar"/>
    <w:uiPriority w:val="99"/>
    <w:unhideWhenUsed/>
    <w:rsid w:val="00E9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DF4"/>
  </w:style>
</w:styles>
</file>

<file path=word/webSettings.xml><?xml version="1.0" encoding="utf-8"?>
<w:webSettings xmlns:r="http://schemas.openxmlformats.org/officeDocument/2006/relationships" xmlns:w="http://schemas.openxmlformats.org/wordprocessingml/2006/main">
  <w:divs>
    <w:div w:id="769860186">
      <w:bodyDiv w:val="1"/>
      <w:marLeft w:val="0"/>
      <w:marRight w:val="0"/>
      <w:marTop w:val="0"/>
      <w:marBottom w:val="0"/>
      <w:divBdr>
        <w:top w:val="none" w:sz="0" w:space="0" w:color="auto"/>
        <w:left w:val="none" w:sz="0" w:space="0" w:color="auto"/>
        <w:bottom w:val="none" w:sz="0" w:space="0" w:color="auto"/>
        <w:right w:val="none" w:sz="0" w:space="0" w:color="auto"/>
      </w:divBdr>
    </w:div>
    <w:div w:id="12332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dc:creator>
  <cp:keywords/>
  <dc:description/>
  <cp:lastModifiedBy>HANG DO</cp:lastModifiedBy>
  <cp:revision>3</cp:revision>
  <dcterms:created xsi:type="dcterms:W3CDTF">2013-10-09T02:55:00Z</dcterms:created>
  <dcterms:modified xsi:type="dcterms:W3CDTF">2013-11-12T07:57:00Z</dcterms:modified>
</cp:coreProperties>
</file>